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BD2" w:rsidRDefault="009201FF" w:rsidP="00E77BD2">
      <w:pPr>
        <w:pStyle w:val="Kop1"/>
      </w:pPr>
      <w:bookmarkStart w:id="0" w:name="_Toc472970115"/>
      <w:r>
        <w:t xml:space="preserve">Bijlage </w:t>
      </w:r>
      <w:bookmarkStart w:id="1" w:name="_GoBack"/>
      <w:bookmarkEnd w:id="1"/>
      <w:r w:rsidR="00E77BD2">
        <w:t>Duurzaamheidskenmerken</w:t>
      </w:r>
      <w:bookmarkEnd w:id="0"/>
    </w:p>
    <w:p w:rsidR="00E77BD2" w:rsidRDefault="00E77BD2" w:rsidP="00E77BD2"/>
    <w:p w:rsidR="00E77BD2" w:rsidRPr="00BB5564" w:rsidRDefault="00E77BD2" w:rsidP="00E77BD2">
      <w:pPr>
        <w:rPr>
          <w:rFonts w:cs="Tahoma"/>
          <w:szCs w:val="20"/>
        </w:rPr>
      </w:pPr>
      <w:r w:rsidRPr="00BB5564">
        <w:rPr>
          <w:rFonts w:cs="Tahoma"/>
          <w:szCs w:val="20"/>
        </w:rPr>
        <w:t>De duurzaamheidskenmerken zijn:</w:t>
      </w:r>
    </w:p>
    <w:p w:rsidR="00E77BD2" w:rsidRPr="00BB5564" w:rsidRDefault="00E77BD2" w:rsidP="00E77BD2">
      <w:pPr>
        <w:pStyle w:val="Standaardinspringing"/>
        <w:numPr>
          <w:ilvl w:val="0"/>
          <w:numId w:val="1"/>
        </w:numPr>
        <w:spacing w:line="240" w:lineRule="auto"/>
        <w:ind w:left="600" w:hanging="600"/>
        <w:rPr>
          <w:rFonts w:ascii="Tahoma" w:hAnsi="Tahoma"/>
        </w:rPr>
      </w:pPr>
      <w:r w:rsidRPr="00BB5564">
        <w:rPr>
          <w:rFonts w:ascii="Tahoma" w:hAnsi="Tahoma"/>
        </w:rPr>
        <w:t xml:space="preserve">Dierlijke producten zijn afkomstig van dieren die gedurende de verschillende levensfase meer </w:t>
      </w:r>
      <w:proofErr w:type="spellStart"/>
      <w:r w:rsidRPr="00BB5564">
        <w:rPr>
          <w:rFonts w:ascii="Tahoma" w:hAnsi="Tahoma"/>
        </w:rPr>
        <w:t>binnenleefruimte</w:t>
      </w:r>
      <w:proofErr w:type="spellEnd"/>
      <w:r w:rsidRPr="00BB5564">
        <w:rPr>
          <w:rFonts w:ascii="Tahoma" w:hAnsi="Tahoma"/>
        </w:rPr>
        <w:t xml:space="preserve"> hebben dan wettelijk is vereist. </w:t>
      </w:r>
    </w:p>
    <w:p w:rsidR="00E77BD2" w:rsidRPr="00BB5564" w:rsidRDefault="00E77BD2" w:rsidP="00E77BD2">
      <w:pPr>
        <w:pStyle w:val="Standaardinspringing"/>
        <w:numPr>
          <w:ilvl w:val="0"/>
          <w:numId w:val="1"/>
        </w:numPr>
        <w:spacing w:line="240" w:lineRule="auto"/>
        <w:ind w:left="600" w:hanging="600"/>
        <w:rPr>
          <w:rFonts w:ascii="Tahoma" w:hAnsi="Tahoma"/>
        </w:rPr>
      </w:pPr>
      <w:r w:rsidRPr="00BB5564">
        <w:rPr>
          <w:rFonts w:ascii="Tahoma" w:hAnsi="Tahoma"/>
        </w:rPr>
        <w:t xml:space="preserve">Dierlijke producten zijn afkomstig van dieren waarop minder vergaande ingrepen zijn toegepast dan is toegestaan volgens de Gezondheids- en welzijnswet voor dieren. Bijvoorbeeld Beter Leven Keurmerk, Milieukeurmerk, Graskeurmerk. </w:t>
      </w:r>
    </w:p>
    <w:p w:rsidR="00E77BD2" w:rsidRPr="00BB5564" w:rsidRDefault="00E77BD2" w:rsidP="00E77BD2">
      <w:pPr>
        <w:pStyle w:val="Standaardinspringing"/>
        <w:numPr>
          <w:ilvl w:val="0"/>
          <w:numId w:val="1"/>
        </w:numPr>
        <w:spacing w:line="240" w:lineRule="auto"/>
        <w:ind w:left="600" w:hanging="600"/>
        <w:rPr>
          <w:rFonts w:ascii="Tahoma" w:hAnsi="Tahoma"/>
        </w:rPr>
      </w:pPr>
      <w:r w:rsidRPr="00BB5564">
        <w:rPr>
          <w:rFonts w:ascii="Tahoma" w:hAnsi="Tahoma"/>
        </w:rPr>
        <w:t>Dierlijke producten zijn afkomstig van dieren die een vrije buitenloop hebben. Bijvoorbeeld Graskeurmerk, CPE keurmerk en Demeter.</w:t>
      </w:r>
    </w:p>
    <w:p w:rsidR="00E77BD2" w:rsidRPr="00BB5564" w:rsidRDefault="00E77BD2" w:rsidP="00E77BD2">
      <w:pPr>
        <w:pStyle w:val="Standaardinspringing"/>
        <w:numPr>
          <w:ilvl w:val="0"/>
          <w:numId w:val="1"/>
        </w:numPr>
        <w:spacing w:line="240" w:lineRule="auto"/>
        <w:ind w:left="600" w:hanging="600"/>
        <w:rPr>
          <w:rFonts w:ascii="Tahoma" w:hAnsi="Tahoma"/>
        </w:rPr>
      </w:pPr>
      <w:r w:rsidRPr="00BB5564">
        <w:rPr>
          <w:rFonts w:ascii="Tahoma" w:hAnsi="Tahoma"/>
        </w:rPr>
        <w:t>Dierlijke producten zijn afkomstig van zeldzame rassen. Dit zijn rassen die op de lijst staan van Stichting Zeldzame huisdieren en voor minimaal 65% raszuiver zijn of rassen die op een vergelijkbare lijst van een andere EU lidstaat staan en voor minimaal 65% raszuiver zijn.</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 xml:space="preserve">Visproducten zijn afkomstig van vissen die op duurzame wijze zijn gevangen of gekweekt, zodanig dat geen schade wordt berokkend aan andere diersoorten en aan platen en in zodanige hoeveelheden dat de stand van de vissoort door de vangst niet achteruitgaat. Bijvoorbeeld groene of gele kleur op WNF-viswijzer of Marine </w:t>
      </w:r>
      <w:proofErr w:type="spellStart"/>
      <w:r w:rsidRPr="00BB5564">
        <w:rPr>
          <w:rFonts w:ascii="Tahoma" w:hAnsi="Tahoma"/>
        </w:rPr>
        <w:t>Stewardship</w:t>
      </w:r>
      <w:proofErr w:type="spellEnd"/>
      <w:r w:rsidRPr="00BB5564">
        <w:rPr>
          <w:rFonts w:ascii="Tahoma" w:hAnsi="Tahoma"/>
        </w:rPr>
        <w:t xml:space="preserve"> Council (MSC).</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Plantaardige producten uit kassen zijn geteeld in kassen waarin tenminste 25% primair brandstof bespaard is ten opzichte van de situatie waarin zij zich van energie zouden voorzien door verwarming via een conventionele verbrandingsketel en inkoop van grijze elektriciteit. De besparing wordt berekend volgens de rekenmethode die wordt toegepast bij het Energiecertificaat of een vergelijkbare methode.</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 xml:space="preserve">Plantaardige producten uit kassen zijn geteeld zonder de hier genoemde chemisch/synthetische middelen: 2,4 D, </w:t>
      </w:r>
      <w:proofErr w:type="spellStart"/>
      <w:r w:rsidRPr="00BB5564">
        <w:rPr>
          <w:rFonts w:ascii="Tahoma" w:hAnsi="Tahoma"/>
        </w:rPr>
        <w:t>glyfosfaat</w:t>
      </w:r>
      <w:proofErr w:type="spellEnd"/>
      <w:r w:rsidRPr="00BB5564">
        <w:rPr>
          <w:rFonts w:ascii="Tahoma" w:hAnsi="Tahoma"/>
        </w:rPr>
        <w:t xml:space="preserve">, </w:t>
      </w:r>
      <w:proofErr w:type="spellStart"/>
      <w:r w:rsidRPr="00BB5564">
        <w:rPr>
          <w:rFonts w:ascii="Tahoma" w:hAnsi="Tahoma"/>
        </w:rPr>
        <w:t>glyfosfaat</w:t>
      </w:r>
      <w:proofErr w:type="spellEnd"/>
      <w:r w:rsidRPr="00BB5564">
        <w:rPr>
          <w:rFonts w:ascii="Tahoma" w:hAnsi="Tahoma"/>
        </w:rPr>
        <w:t xml:space="preserve">-ammonium, </w:t>
      </w:r>
      <w:proofErr w:type="spellStart"/>
      <w:r w:rsidRPr="00BB5564">
        <w:rPr>
          <w:rFonts w:ascii="Tahoma" w:hAnsi="Tahoma"/>
        </w:rPr>
        <w:t>linuron</w:t>
      </w:r>
      <w:proofErr w:type="spellEnd"/>
      <w:r w:rsidRPr="00BB5564">
        <w:rPr>
          <w:rFonts w:ascii="Tahoma" w:hAnsi="Tahoma"/>
        </w:rPr>
        <w:t xml:space="preserve">, </w:t>
      </w:r>
      <w:proofErr w:type="spellStart"/>
      <w:r w:rsidRPr="00BB5564">
        <w:rPr>
          <w:rFonts w:ascii="Tahoma" w:hAnsi="Tahoma"/>
        </w:rPr>
        <w:t>maneb</w:t>
      </w:r>
      <w:proofErr w:type="spellEnd"/>
      <w:r w:rsidRPr="00BB5564">
        <w:rPr>
          <w:rFonts w:ascii="Tahoma" w:hAnsi="Tahoma"/>
        </w:rPr>
        <w:t xml:space="preserve">, </w:t>
      </w:r>
      <w:proofErr w:type="spellStart"/>
      <w:r w:rsidRPr="00BB5564">
        <w:rPr>
          <w:rFonts w:ascii="Tahoma" w:hAnsi="Tahoma"/>
        </w:rPr>
        <w:t>macozeb</w:t>
      </w:r>
      <w:proofErr w:type="spellEnd"/>
      <w:r w:rsidRPr="00BB5564">
        <w:rPr>
          <w:rFonts w:ascii="Tahoma" w:hAnsi="Tahoma"/>
        </w:rPr>
        <w:t xml:space="preserve">, MCPA en </w:t>
      </w:r>
      <w:proofErr w:type="spellStart"/>
      <w:r w:rsidRPr="00BB5564">
        <w:rPr>
          <w:rFonts w:ascii="Tahoma" w:hAnsi="Tahoma"/>
        </w:rPr>
        <w:t>Mecoprop</w:t>
      </w:r>
      <w:proofErr w:type="spellEnd"/>
      <w:r w:rsidRPr="00BB5564">
        <w:rPr>
          <w:rFonts w:ascii="Tahoma" w:hAnsi="Tahoma"/>
        </w:rPr>
        <w:t>.</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Plantaardige akkerbouw-, vollegrond- en fruitproducten zijn geteeld zonder chemisch-synthetische middelen of slechts met de middelen die zijn opgenomen in het certificatieschema milieukeur plantaardige producten uit de open teelt (versie 1 februari 2011).</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 xml:space="preserve">De volgende plantaardige producten zijn geteeld zonder de chemisch-synthetische middelen die zijn opgenomen in de “Dirty Dozen List” van het Pesticide Action Network (PAN): banaan, sinaasappel, citroen, mango, </w:t>
      </w:r>
      <w:proofErr w:type="spellStart"/>
      <w:r w:rsidRPr="00BB5564">
        <w:rPr>
          <w:rFonts w:ascii="Tahoma" w:hAnsi="Tahoma"/>
        </w:rPr>
        <w:t>guava</w:t>
      </w:r>
      <w:proofErr w:type="spellEnd"/>
      <w:r w:rsidRPr="00BB5564">
        <w:rPr>
          <w:rFonts w:ascii="Tahoma" w:hAnsi="Tahoma"/>
        </w:rPr>
        <w:t>, ananas, koffie, thee, cacao en rijst. Bijvoorbeeld Europees Bio-keurmerk, EKO-keurmerk, Demeter, etc.</w:t>
      </w:r>
    </w:p>
    <w:p w:rsidR="00E77BD2" w:rsidRPr="00BB5564" w:rsidRDefault="00E77BD2" w:rsidP="00E77BD2">
      <w:pPr>
        <w:pStyle w:val="Standaardinspringing"/>
        <w:numPr>
          <w:ilvl w:val="0"/>
          <w:numId w:val="1"/>
        </w:numPr>
        <w:tabs>
          <w:tab w:val="num" w:pos="2692"/>
        </w:tabs>
        <w:spacing w:line="240" w:lineRule="auto"/>
        <w:ind w:left="600" w:hanging="600"/>
        <w:rPr>
          <w:rFonts w:ascii="Tahoma" w:hAnsi="Tahoma"/>
        </w:rPr>
      </w:pPr>
      <w:r w:rsidRPr="00BB5564">
        <w:rPr>
          <w:rFonts w:ascii="Tahoma" w:hAnsi="Tahoma"/>
        </w:rPr>
        <w:t>Dierlijke producten zijn afkomstig van dieren die zijn gevoederd met producten van plantaardige oorsprong die, voor 95% van het volumeaandeel in het rantsoen, zijn geteeld zonder het gebruik van chemisch-synthetische middelen.</w:t>
      </w:r>
    </w:p>
    <w:p w:rsidR="00E77BD2" w:rsidRPr="00BB5564" w:rsidRDefault="00E77BD2" w:rsidP="00E77BD2">
      <w:pPr>
        <w:pStyle w:val="Standaardinspringing"/>
        <w:numPr>
          <w:ilvl w:val="0"/>
          <w:numId w:val="1"/>
        </w:numPr>
        <w:spacing w:line="240" w:lineRule="auto"/>
        <w:ind w:left="600" w:hanging="600"/>
        <w:rPr>
          <w:rFonts w:ascii="Tahoma" w:hAnsi="Tahoma"/>
        </w:rPr>
      </w:pPr>
      <w:r w:rsidRPr="00BB5564">
        <w:rPr>
          <w:rFonts w:ascii="Tahoma" w:hAnsi="Tahoma"/>
        </w:rPr>
        <w:t xml:space="preserve">Melkproducten zijn afkomstig van melkveebedrijven die voldoen aan de richtlijnen van Stichting </w:t>
      </w:r>
      <w:proofErr w:type="spellStart"/>
      <w:r w:rsidRPr="00BB5564">
        <w:rPr>
          <w:rFonts w:ascii="Tahoma" w:hAnsi="Tahoma"/>
        </w:rPr>
        <w:t>Wijdegang</w:t>
      </w:r>
      <w:proofErr w:type="spellEnd"/>
      <w:r w:rsidRPr="00BB5564">
        <w:rPr>
          <w:rFonts w:ascii="Tahoma" w:hAnsi="Tahoma"/>
        </w:rPr>
        <w:t>.</w:t>
      </w:r>
    </w:p>
    <w:p w:rsidR="00E77BD2" w:rsidRPr="00BB5564" w:rsidRDefault="00E77BD2" w:rsidP="00E77BD2">
      <w:pPr>
        <w:pStyle w:val="Standaardinspringing"/>
        <w:tabs>
          <w:tab w:val="num" w:pos="1276"/>
        </w:tabs>
        <w:ind w:left="0"/>
        <w:rPr>
          <w:rFonts w:ascii="Tahoma" w:hAnsi="Tahoma"/>
        </w:rPr>
      </w:pPr>
    </w:p>
    <w:p w:rsidR="0086268F" w:rsidRPr="00E77BD2" w:rsidRDefault="0086268F" w:rsidP="00E77BD2">
      <w:pPr>
        <w:spacing w:after="200" w:line="276" w:lineRule="auto"/>
      </w:pPr>
    </w:p>
    <w:sectPr w:rsidR="0086268F" w:rsidRPr="00E77B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F1752B"/>
    <w:multiLevelType w:val="hybridMultilevel"/>
    <w:tmpl w:val="F0F6C730"/>
    <w:lvl w:ilvl="0" w:tplc="04130001">
      <w:start w:val="1"/>
      <w:numFmt w:val="decimal"/>
      <w:lvlText w:val="%1."/>
      <w:lvlJc w:val="left"/>
      <w:pPr>
        <w:tabs>
          <w:tab w:val="num" w:pos="720"/>
        </w:tabs>
        <w:ind w:left="720" w:hanging="360"/>
      </w:pPr>
      <w:rPr>
        <w:rFonts w:cs="Times New Roman"/>
      </w:rPr>
    </w:lvl>
    <w:lvl w:ilvl="1" w:tplc="04130003">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D2"/>
    <w:rsid w:val="000D09EA"/>
    <w:rsid w:val="0086268F"/>
    <w:rsid w:val="009201FF"/>
    <w:rsid w:val="00E77B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84CDD9-ABEB-47C5-BEC8-31DDCFD09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77BD2"/>
    <w:pPr>
      <w:spacing w:after="0" w:line="240" w:lineRule="auto"/>
    </w:pPr>
    <w:rPr>
      <w:rFonts w:ascii="Tahoma" w:eastAsia="Times New Roman" w:hAnsi="Tahoma" w:cs="Times New Roman"/>
      <w:sz w:val="20"/>
      <w:szCs w:val="24"/>
      <w:lang w:eastAsia="nl-NL"/>
    </w:rPr>
  </w:style>
  <w:style w:type="paragraph" w:styleId="Kop1">
    <w:name w:val="heading 1"/>
    <w:aliases w:val="Chapter Headline,hoofdstuk,hfd,Hoofdkop,Hoofdkop1,Hoofdkop2,Hoofdkop11,Hoofdkop3,Hoofdkop12,Hoofdkop21,Hoofdkop111,Hoofdkop4,Hoofdkop13,Hoofdkop22,Hoofdkop112,Hoofdkop31,Hoofdkop121,Hoofdkop211,Hoofdkop1111,Hoofdkop5,Hoofdkop14,Hoofdkop23"/>
    <w:basedOn w:val="Standaard"/>
    <w:next w:val="Standaard"/>
    <w:link w:val="Kop1Char"/>
    <w:autoRedefine/>
    <w:uiPriority w:val="9"/>
    <w:qFormat/>
    <w:rsid w:val="00E77BD2"/>
    <w:pPr>
      <w:keepNext/>
      <w:keepLines/>
      <w:spacing w:after="360" w:line="276" w:lineRule="auto"/>
      <w:outlineLvl w:val="0"/>
    </w:pPr>
    <w:rPr>
      <w:rFonts w:eastAsiaTheme="majorEastAsia" w:cstheme="majorBidi"/>
      <w:b/>
      <w:bCs/>
      <w:caps/>
      <w:color w:val="000000" w:themeColor="text1"/>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Chapter Headline Char,hoofdstuk Char,hfd Char,Hoofdkop Char,Hoofdkop1 Char,Hoofdkop2 Char,Hoofdkop11 Char,Hoofdkop3 Char,Hoofdkop12 Char,Hoofdkop21 Char,Hoofdkop111 Char,Hoofdkop4 Char,Hoofdkop13 Char,Hoofdkop22 Char,Hoofdkop112 Char"/>
    <w:basedOn w:val="Standaardalinea-lettertype"/>
    <w:link w:val="Kop1"/>
    <w:uiPriority w:val="9"/>
    <w:rsid w:val="00E77BD2"/>
    <w:rPr>
      <w:rFonts w:ascii="Tahoma" w:eastAsiaTheme="majorEastAsia" w:hAnsi="Tahoma" w:cstheme="majorBidi"/>
      <w:b/>
      <w:bCs/>
      <w:caps/>
      <w:color w:val="000000" w:themeColor="text1"/>
      <w:sz w:val="20"/>
      <w:szCs w:val="28"/>
      <w:lang w:eastAsia="nl-NL"/>
    </w:rPr>
  </w:style>
  <w:style w:type="paragraph" w:styleId="Standaardinspringing">
    <w:name w:val="Normal Indent"/>
    <w:basedOn w:val="Standaard"/>
    <w:rsid w:val="00E77BD2"/>
    <w:pPr>
      <w:spacing w:line="260" w:lineRule="atLeast"/>
      <w:ind w:left="708"/>
    </w:pPr>
    <w:rPr>
      <w:rFonts w:ascii="Arial" w:hAnsi="Arial" w:cs="Tahoma"/>
      <w:kern w:val="1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91CBC928347D4DAA2B5587C2D4D386" ma:contentTypeVersion="0" ma:contentTypeDescription="Een nieuw document maken." ma:contentTypeScope="" ma:versionID="cfa6a9a9f9eb8cd4cf602f6a6d0f1860">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599C41-8EDA-4648-B152-928373F91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E96292-2C06-4371-A5A8-0A9DBBA68E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8E6AE-2DDA-49A8-BAAA-6A0382730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2274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Swinkels,Anita J.A.M.</dc:creator>
  <cp:keywords/>
  <dc:description/>
  <cp:lastModifiedBy>Nelissen,Janny J.P.M.</cp:lastModifiedBy>
  <cp:revision>2</cp:revision>
  <dcterms:created xsi:type="dcterms:W3CDTF">2017-01-25T14:59:00Z</dcterms:created>
  <dcterms:modified xsi:type="dcterms:W3CDTF">2017-02-07T14:23:00Z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0x010100F591CBC928347D4DAA2B5587C2D4D386</vt:lpwstr>
  </property>
</Properties>
</file>